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7F89" w:rsidRDefault="00C57F89" w:rsidP="00C57F89">
      <w:pPr>
        <w:pStyle w:val="1"/>
        <w:numPr>
          <w:ilvl w:val="0"/>
          <w:numId w:val="1"/>
        </w:numPr>
        <w:tabs>
          <w:tab w:val="left" w:pos="1239"/>
        </w:tabs>
        <w:ind w:firstLine="709"/>
      </w:pPr>
      <w:r>
        <w:rPr>
          <w:b/>
          <w:bCs/>
        </w:rPr>
        <w:t>Учебный план среднего общего образования для 11 класса по обновленным ФГОС СОО на 2023-2024 учебный год</w:t>
      </w:r>
    </w:p>
    <w:p w:rsidR="00C57F89" w:rsidRDefault="00C57F89" w:rsidP="00C57F89">
      <w:pPr>
        <w:pStyle w:val="1"/>
        <w:ind w:firstLine="709"/>
        <w:jc w:val="center"/>
      </w:pPr>
      <w:r>
        <w:rPr>
          <w:b/>
          <w:bCs/>
        </w:rPr>
        <w:t>Пояснительная записка</w:t>
      </w:r>
    </w:p>
    <w:p w:rsidR="00C57F89" w:rsidRDefault="00C57F89" w:rsidP="00C57F89">
      <w:pPr>
        <w:pStyle w:val="1"/>
        <w:ind w:firstLine="709"/>
        <w:jc w:val="both"/>
      </w:pPr>
    </w:p>
    <w:p w:rsidR="00C57F89" w:rsidRPr="00C57F89" w:rsidRDefault="00C57F89" w:rsidP="00C57F89">
      <w:pPr>
        <w:pStyle w:val="1"/>
        <w:ind w:firstLine="709"/>
        <w:jc w:val="center"/>
        <w:rPr>
          <w:b/>
          <w:bCs/>
        </w:rPr>
      </w:pPr>
      <w:r w:rsidRPr="00C57F89">
        <w:rPr>
          <w:b/>
          <w:bCs/>
        </w:rPr>
        <w:t>ПОЯСНИТЕЛЬНАЯ ЗАПИСКА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 xml:space="preserve">Учебный план среднего общего образования Государственное казенное общеобразовательное учреждение Калужской области "Калужская общеобразовательная школа - интернат № 5 имени Ф.А. </w:t>
      </w:r>
      <w:proofErr w:type="spellStart"/>
      <w:r w:rsidRPr="00D26075">
        <w:t>Рау</w:t>
      </w:r>
      <w:proofErr w:type="spellEnd"/>
      <w:r w:rsidRPr="00D26075">
        <w:t xml:space="preserve"> для обучающихся с ограниченными возможностями здоровья"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 xml:space="preserve">Учебный план является частью образовательной программы Государственное казенное общеобразовательное учреждение Калужской области "Калужская общеобразовательная школа - интернат № 5 имени Ф.А. </w:t>
      </w:r>
      <w:proofErr w:type="spellStart"/>
      <w:r w:rsidRPr="00D26075">
        <w:t>Рау</w:t>
      </w:r>
      <w:proofErr w:type="spellEnd"/>
      <w:r w:rsidRPr="00D26075">
        <w:t xml:space="preserve"> для обучающихся с ограниченными возможностями здоровья",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 xml:space="preserve">Учебный год в Государственное казенное общеобразовательное учреждение Калужской области "Калужская общеобразовательная школа - интернат № 5 имени Ф.А. </w:t>
      </w:r>
      <w:proofErr w:type="spellStart"/>
      <w:r w:rsidRPr="00D26075">
        <w:t>Рау</w:t>
      </w:r>
      <w:proofErr w:type="spellEnd"/>
      <w:r w:rsidRPr="00D26075">
        <w:t xml:space="preserve"> для обучающихся с ограниченными возможностями здоровья" начинается 02.09.2024 и заканчивается 27.05.2025. 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 xml:space="preserve">Продолжительность учебного года в 10-11 классах составляет 34 учебные недели. 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>Учебные занятия для учащихся 10-11 классов проводятся по 5-ти дневной учебной неделе.</w:t>
      </w:r>
    </w:p>
    <w:p w:rsidR="00C57F89" w:rsidRPr="00D26075" w:rsidRDefault="00C57F89" w:rsidP="00C57F89">
      <w:pPr>
        <w:pStyle w:val="1"/>
        <w:ind w:firstLine="709"/>
        <w:jc w:val="both"/>
      </w:pPr>
      <w:bookmarkStart w:id="0" w:name="_GoBack"/>
      <w:r w:rsidRPr="00D26075">
        <w:t xml:space="preserve">Максимальный объем аудиторной нагрузки обучающихся в неделю </w:t>
      </w:r>
      <w:proofErr w:type="gramStart"/>
      <w:r w:rsidRPr="00D26075">
        <w:t>составляет  в</w:t>
      </w:r>
      <w:proofErr w:type="gramEnd"/>
      <w:r w:rsidRPr="00D26075">
        <w:t xml:space="preserve">  10 классе – 34 часа, в  11 классе – 34 часа. .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lastRenderedPageBreak/>
        <w:t xml:space="preserve">В Государственное казенное общеобразовательное учреждение Калужской области "Калужская общеобразовательная школа - интернат № 5 имени Ф.А. </w:t>
      </w:r>
      <w:proofErr w:type="spellStart"/>
      <w:r w:rsidRPr="00D26075">
        <w:t>Рау</w:t>
      </w:r>
      <w:proofErr w:type="spellEnd"/>
      <w:r w:rsidRPr="00D26075">
        <w:t xml:space="preserve"> для обучающихся с ограниченными возможностями здоровья" языком обучения является Русский язык.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 xml:space="preserve">Промежуточная аттестация – процедура, проводимая с целью оценки качества освоения </w:t>
      </w:r>
      <w:proofErr w:type="gramStart"/>
      <w:r w:rsidRPr="00D26075">
        <w:t>обучающимися</w:t>
      </w:r>
      <w:proofErr w:type="gramEnd"/>
      <w:r w:rsidRPr="00D26075">
        <w:t xml:space="preserve"> части содержания (полугодие) или всего объема учебной дисциплины за учебный год (годовое оценивание).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D26075">
        <w:t>безотметочными</w:t>
      </w:r>
      <w:proofErr w:type="spellEnd"/>
      <w:r w:rsidRPr="00D26075">
        <w:t xml:space="preserve"> и оцениваются «зачет» или «незачет» по итогам полугодия. 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 w:rsidRPr="00D26075">
        <w:br/>
        <w:t xml:space="preserve">текущего контроля успеваемости и промежуточной аттестации обучающихся Государственное казенное общеобразовательное учреждение Калужской области "Калужская общеобразовательная школа - интернат № 5 имени Ф.А. </w:t>
      </w:r>
      <w:proofErr w:type="spellStart"/>
      <w:r w:rsidRPr="00D26075">
        <w:t>Рау</w:t>
      </w:r>
      <w:proofErr w:type="spellEnd"/>
      <w:r w:rsidRPr="00D26075">
        <w:t xml:space="preserve"> для обучающихся с ограниченными возможностями здоровья". 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C57F89" w:rsidRPr="00D26075" w:rsidRDefault="00C57F89" w:rsidP="00C57F89">
      <w:pPr>
        <w:pStyle w:val="1"/>
        <w:ind w:firstLine="709"/>
        <w:jc w:val="both"/>
      </w:pPr>
      <w:r w:rsidRPr="00D26075">
        <w:t xml:space="preserve">Нормативный срок освоения основной образовательной программы </w:t>
      </w:r>
      <w:bookmarkEnd w:id="0"/>
      <w:r w:rsidRPr="00D26075">
        <w:t>среднего общего образования составляет 2 года.</w:t>
      </w:r>
    </w:p>
    <w:p w:rsidR="00C57F89" w:rsidRDefault="00C57F89" w:rsidP="00C57F89">
      <w:pPr>
        <w:pStyle w:val="1"/>
        <w:ind w:firstLine="709"/>
        <w:jc w:val="center"/>
        <w:rPr>
          <w:b/>
          <w:bCs/>
        </w:rPr>
      </w:pPr>
      <w:r w:rsidRPr="00D26075">
        <w:rPr>
          <w:b/>
        </w:rPr>
        <w:t xml:space="preserve">Учебный план </w:t>
      </w:r>
      <w:r w:rsidRPr="00D26075">
        <w:rPr>
          <w:b/>
          <w:bCs/>
        </w:rPr>
        <w:t>технологического (инженерного) профиля</w:t>
      </w:r>
    </w:p>
    <w:p w:rsidR="00C57F89" w:rsidRPr="00D26075" w:rsidRDefault="00C57F89" w:rsidP="00C57F89">
      <w:pPr>
        <w:pStyle w:val="1"/>
        <w:ind w:firstLine="709"/>
        <w:jc w:val="center"/>
        <w:rPr>
          <w:b/>
        </w:rPr>
      </w:pPr>
      <w:r w:rsidRPr="00D26075">
        <w:rPr>
          <w:b/>
          <w:bCs/>
        </w:rPr>
        <w:t>(с углубленным изучением математики и физики)</w:t>
      </w:r>
    </w:p>
    <w:p w:rsidR="00C57F89" w:rsidRPr="00D26075" w:rsidRDefault="00C57F89" w:rsidP="00C57F89">
      <w:pPr>
        <w:pStyle w:val="1"/>
        <w:ind w:firstLine="709"/>
        <w:jc w:val="center"/>
        <w:rPr>
          <w:b/>
        </w:rPr>
      </w:pPr>
      <w:r w:rsidRPr="00D26075">
        <w:rPr>
          <w:b/>
        </w:rPr>
        <w:t xml:space="preserve">при 5-дневной учебной неделе на 2024-2026 </w:t>
      </w:r>
      <w:proofErr w:type="spellStart"/>
      <w:r w:rsidRPr="00D26075">
        <w:rPr>
          <w:b/>
        </w:rPr>
        <w:t>уч.г</w:t>
      </w:r>
      <w:proofErr w:type="spellEnd"/>
      <w:r w:rsidRPr="00D26075">
        <w:rPr>
          <w:b/>
        </w:rPr>
        <w:t>.</w:t>
      </w:r>
    </w:p>
    <w:p w:rsidR="00C57F89" w:rsidRPr="00D26075" w:rsidRDefault="00C57F89" w:rsidP="00C57F89">
      <w:pPr>
        <w:pStyle w:val="1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0"/>
        <w:gridCol w:w="3613"/>
        <w:gridCol w:w="1491"/>
        <w:gridCol w:w="1491"/>
      </w:tblGrid>
      <w:tr w:rsidR="00C57F89" w:rsidRPr="00D26075" w:rsidTr="005E35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Учебный предмет/курс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Количество часов                          в неделю</w:t>
            </w:r>
          </w:p>
        </w:tc>
      </w:tr>
      <w:tr w:rsidR="00C57F89" w:rsidRPr="00D26075" w:rsidTr="005E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10а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11а</w:t>
            </w:r>
          </w:p>
        </w:tc>
      </w:tr>
      <w:tr w:rsidR="00C57F89" w:rsidRPr="00D26075" w:rsidTr="005E35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Обязательная часть</w:t>
            </w:r>
          </w:p>
        </w:tc>
      </w:tr>
      <w:tr w:rsidR="00C57F89" w:rsidRPr="00D26075" w:rsidTr="005E35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</w:tr>
      <w:tr w:rsidR="00C57F89" w:rsidRPr="00D26075" w:rsidTr="005E35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</w:tr>
      <w:tr w:rsidR="00C57F89" w:rsidRPr="00D26075" w:rsidTr="005E35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Алгебра (углубленный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4</w:t>
            </w:r>
          </w:p>
        </w:tc>
      </w:tr>
      <w:tr w:rsidR="00C57F89" w:rsidRPr="00D26075" w:rsidTr="005E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Геометрия (углубленный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</w:tr>
      <w:tr w:rsidR="00C57F89" w:rsidRPr="00D26075" w:rsidTr="005E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Вероятность и статистика (углубленный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Естественно-научные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Физика (углубленный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5</w:t>
            </w:r>
          </w:p>
        </w:tc>
      </w:tr>
      <w:tr w:rsidR="00C57F89" w:rsidRPr="00D26075" w:rsidTr="005E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Индивидуальный 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0</w:t>
            </w:r>
          </w:p>
        </w:tc>
      </w:tr>
      <w:tr w:rsidR="00C57F89" w:rsidRPr="00D26075" w:rsidTr="005E35F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32</w:t>
            </w:r>
          </w:p>
        </w:tc>
      </w:tr>
      <w:tr w:rsidR="00C57F89" w:rsidRPr="00D26075" w:rsidTr="005E35F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Учебный курс «Пишем сочинение»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Учебный 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ИТОГО недельная нагрузка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32</w:t>
            </w:r>
          </w:p>
        </w:tc>
      </w:tr>
      <w:tr w:rsidR="00C57F89" w:rsidRPr="00D26075" w:rsidTr="005E35F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Количество учебных 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34</w:t>
            </w:r>
          </w:p>
        </w:tc>
      </w:tr>
      <w:tr w:rsidR="00C57F89" w:rsidRPr="00D26075" w:rsidTr="005E35F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Всего часов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2152</w:t>
            </w:r>
          </w:p>
        </w:tc>
      </w:tr>
    </w:tbl>
    <w:p w:rsidR="00C57F89" w:rsidRPr="00D26075" w:rsidRDefault="00C57F89" w:rsidP="00C57F89">
      <w:pPr>
        <w:pStyle w:val="1"/>
        <w:ind w:firstLine="709"/>
      </w:pPr>
    </w:p>
    <w:p w:rsidR="00C57F89" w:rsidRPr="00D26075" w:rsidRDefault="00C57F89" w:rsidP="00C57F89">
      <w:pPr>
        <w:pStyle w:val="1"/>
        <w:ind w:firstLine="709"/>
        <w:jc w:val="center"/>
        <w:rPr>
          <w:b/>
        </w:rPr>
      </w:pPr>
      <w:r w:rsidRPr="00D26075">
        <w:rPr>
          <w:b/>
        </w:rPr>
        <w:t xml:space="preserve">Учебный план </w:t>
      </w:r>
      <w:r w:rsidRPr="00D26075">
        <w:rPr>
          <w:b/>
          <w:bCs/>
        </w:rPr>
        <w:t>универсального профиля</w:t>
      </w:r>
    </w:p>
    <w:p w:rsidR="00C57F89" w:rsidRPr="00D26075" w:rsidRDefault="00C57F89" w:rsidP="00C57F89">
      <w:pPr>
        <w:pStyle w:val="1"/>
        <w:ind w:firstLine="709"/>
        <w:jc w:val="center"/>
      </w:pPr>
      <w:r w:rsidRPr="00D26075">
        <w:rPr>
          <w:b/>
        </w:rPr>
        <w:t xml:space="preserve">при 5-дневной учебной неделе на 2023-2025 </w:t>
      </w:r>
      <w:proofErr w:type="spellStart"/>
      <w:r w:rsidRPr="00D26075">
        <w:rPr>
          <w:b/>
        </w:rPr>
        <w:t>уч.г</w:t>
      </w:r>
      <w:proofErr w:type="spellEnd"/>
      <w:r w:rsidRPr="00D26075">
        <w:rPr>
          <w:b/>
        </w:rPr>
        <w:t>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4388"/>
        <w:gridCol w:w="1275"/>
        <w:gridCol w:w="1276"/>
      </w:tblGrid>
      <w:tr w:rsidR="00C57F89" w:rsidRPr="00D26075" w:rsidTr="005E35F4">
        <w:trPr>
          <w:jc w:val="center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Предметная область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Учебный предмет/курс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Количество часов в неделю</w:t>
            </w:r>
          </w:p>
        </w:tc>
      </w:tr>
      <w:tr w:rsidR="00C57F89" w:rsidRPr="00D26075" w:rsidTr="005E35F4">
        <w:trPr>
          <w:trHeight w:val="394"/>
          <w:jc w:val="center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10а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11а</w:t>
            </w:r>
          </w:p>
        </w:tc>
      </w:tr>
      <w:tr w:rsidR="00C57F89" w:rsidRPr="00D26075" w:rsidTr="005E35F4">
        <w:trPr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rPr>
                <w:b/>
              </w:rPr>
              <w:t>Обязательная часть</w:t>
            </w:r>
          </w:p>
        </w:tc>
      </w:tr>
      <w:tr w:rsidR="00C57F89" w:rsidRPr="00D26075" w:rsidTr="005E35F4">
        <w:trPr>
          <w:jc w:val="center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Русский язык и литература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rPr>
          <w:jc w:val="center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</w:tr>
      <w:tr w:rsidR="00C57F89" w:rsidRPr="00D26075" w:rsidTr="005E35F4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Иностранные языки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</w:tr>
      <w:tr w:rsidR="00C57F89" w:rsidRPr="00D26075" w:rsidTr="005E35F4">
        <w:trPr>
          <w:jc w:val="center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Математика и информатика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Алгебра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</w:tr>
      <w:tr w:rsidR="00C57F89" w:rsidRPr="00D26075" w:rsidTr="005E35F4">
        <w:trPr>
          <w:jc w:val="center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Геометрия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rPr>
          <w:jc w:val="center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rPr>
          <w:jc w:val="center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rPr>
          <w:jc w:val="center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Общественно-научные предметы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rPr>
          <w:jc w:val="center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rPr>
          <w:jc w:val="center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rPr>
          <w:jc w:val="center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Естественно-научные предметы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rPr>
          <w:jc w:val="center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rPr>
          <w:jc w:val="center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Физическая культура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</w:t>
            </w:r>
          </w:p>
        </w:tc>
      </w:tr>
      <w:tr w:rsidR="00C57F89" w:rsidRPr="00D26075" w:rsidTr="005E35F4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Основы безопасности и защиты Родины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Основы безопасности и защиты Родины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-----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Индивидуальный проект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0</w:t>
            </w: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  <w:rPr>
                <w:b/>
                <w:bCs/>
              </w:rPr>
            </w:pPr>
            <w:r w:rsidRPr="00D26075">
              <w:rPr>
                <w:b/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  <w:rPr>
                <w:b/>
                <w:bCs/>
              </w:rPr>
            </w:pPr>
            <w:r w:rsidRPr="00D26075">
              <w:rPr>
                <w:b/>
                <w:bCs/>
              </w:rPr>
              <w:t>27</w:t>
            </w:r>
          </w:p>
        </w:tc>
      </w:tr>
      <w:tr w:rsidR="00C57F89" w:rsidRPr="00D26075" w:rsidTr="005E35F4">
        <w:trPr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Часть, формируемая участниками образовательных отношений</w:t>
            </w: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  <w:rPr>
                <w:b/>
                <w:bCs/>
              </w:rPr>
            </w:pPr>
            <w:r w:rsidRPr="00D26075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  <w:rPr>
                <w:b/>
                <w:bCs/>
              </w:rPr>
            </w:pPr>
            <w:r w:rsidRPr="00D26075">
              <w:rPr>
                <w:b/>
                <w:bCs/>
              </w:rPr>
              <w:t>7</w:t>
            </w: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«Практикум по обществознанию»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«Практикум по математике»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«Практикум по русскому языку»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Учебный курс «Пишем сочинение»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«Подготовка к ЕГЭ по русскому языку: теория и практика»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«Подготовка к ЕГЭ по обществознанию: теория и практика»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«Штукатурно-малярное дело»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«Избранные вопросы по биологии»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ИТОГО недельная нагрузка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34</w:t>
            </w: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Количество учебных недель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34</w:t>
            </w: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Всего часов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1156</w:t>
            </w:r>
          </w:p>
        </w:tc>
      </w:tr>
      <w:tr w:rsidR="00C57F89" w:rsidRPr="00D26075" w:rsidTr="005E35F4">
        <w:trPr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57F89" w:rsidRPr="00D26075" w:rsidRDefault="00C57F89" w:rsidP="005E35F4">
            <w:pPr>
              <w:pStyle w:val="1"/>
              <w:ind w:firstLine="0"/>
              <w:jc w:val="both"/>
            </w:pPr>
            <w:r w:rsidRPr="00D26075">
              <w:t>2312</w:t>
            </w:r>
          </w:p>
        </w:tc>
      </w:tr>
    </w:tbl>
    <w:p w:rsidR="00C57F89" w:rsidRPr="00D26075" w:rsidRDefault="00C57F89" w:rsidP="00C57F89">
      <w:pPr>
        <w:pStyle w:val="1"/>
        <w:ind w:firstLine="709"/>
      </w:pPr>
    </w:p>
    <w:p w:rsidR="00C57F89" w:rsidRDefault="00C57F89" w:rsidP="00C57F89">
      <w:pPr>
        <w:pStyle w:val="1"/>
        <w:ind w:firstLine="709"/>
        <w:jc w:val="both"/>
      </w:pPr>
    </w:p>
    <w:p w:rsidR="00C57F89" w:rsidRDefault="00C57F89" w:rsidP="00C57F89">
      <w:pPr>
        <w:pStyle w:val="1"/>
        <w:ind w:firstLine="709"/>
        <w:jc w:val="both"/>
        <w:sectPr w:rsidR="00C57F89">
          <w:pgSz w:w="12046" w:h="17308"/>
          <w:pgMar w:top="1240" w:right="804" w:bottom="1473" w:left="1657" w:header="812" w:footer="3" w:gutter="0"/>
          <w:cols w:space="720"/>
          <w:noEndnote/>
          <w:docGrid w:linePitch="360"/>
        </w:sectPr>
      </w:pPr>
      <w:r>
        <w:t xml:space="preserve"> </w:t>
      </w:r>
    </w:p>
    <w:p w:rsidR="00C57F89" w:rsidRDefault="00C57F89" w:rsidP="00C57F89">
      <w:pPr>
        <w:pStyle w:val="1"/>
        <w:numPr>
          <w:ilvl w:val="0"/>
          <w:numId w:val="1"/>
        </w:numPr>
        <w:tabs>
          <w:tab w:val="left" w:pos="1258"/>
        </w:tabs>
        <w:ind w:firstLine="709"/>
        <w:jc w:val="both"/>
      </w:pPr>
      <w:bookmarkStart w:id="1" w:name="bookmark946"/>
      <w:bookmarkEnd w:id="1"/>
      <w:r>
        <w:rPr>
          <w:b/>
          <w:bCs/>
        </w:rPr>
        <w:lastRenderedPageBreak/>
        <w:t>План внеурочной деятельности</w:t>
      </w:r>
    </w:p>
    <w:tbl>
      <w:tblPr>
        <w:tblOverlap w:val="never"/>
        <w:tblW w:w="8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0"/>
        <w:gridCol w:w="1275"/>
        <w:gridCol w:w="1560"/>
      </w:tblGrid>
      <w:tr w:rsidR="00C57F89" w:rsidRPr="00D26075" w:rsidTr="005E35F4">
        <w:trPr>
          <w:trHeight w:val="1082"/>
          <w:jc w:val="center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7F89" w:rsidRPr="00D26075" w:rsidRDefault="00C57F89" w:rsidP="005E35F4">
            <w:pPr>
              <w:tabs>
                <w:tab w:val="left" w:pos="1776"/>
                <w:tab w:val="left" w:pos="1973"/>
                <w:tab w:val="left" w:pos="3182"/>
                <w:tab w:val="left" w:pos="3758"/>
                <w:tab w:val="left" w:pos="402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bookmark947"/>
            <w:bookmarkEnd w:id="2"/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Внеурочная</w:t>
            </w: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ab/>
              <w:t>деятельность:</w:t>
            </w:r>
          </w:p>
          <w:p w:rsidR="00C57F89" w:rsidRPr="00D26075" w:rsidRDefault="00C57F89" w:rsidP="00C57F8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776"/>
                <w:tab w:val="left" w:pos="1973"/>
                <w:tab w:val="left" w:pos="3182"/>
                <w:tab w:val="left" w:pos="3758"/>
                <w:tab w:val="left" w:pos="4027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Коррекционно-</w:t>
            </w:r>
            <w:r w:rsidRPr="00D260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развивающие</w:t>
            </w:r>
            <w:r w:rsidRPr="00D260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курсы по «Программе коррекционной работы»;</w:t>
            </w:r>
          </w:p>
          <w:p w:rsidR="00C57F89" w:rsidRPr="00D26075" w:rsidRDefault="00C57F89" w:rsidP="00C57F89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Занятия по различным направлениям внеурочной деятельности</w:t>
            </w:r>
          </w:p>
        </w:tc>
      </w:tr>
      <w:tr w:rsidR="00C57F89" w:rsidRPr="00D26075" w:rsidTr="005E35F4">
        <w:trPr>
          <w:trHeight w:hRule="exact" w:val="343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57F89" w:rsidRPr="00D26075" w:rsidRDefault="00C57F89" w:rsidP="005E35F4">
            <w:pPr>
              <w:tabs>
                <w:tab w:val="left" w:pos="1776"/>
                <w:tab w:val="left" w:pos="1973"/>
                <w:tab w:val="left" w:pos="3182"/>
                <w:tab w:val="left" w:pos="3758"/>
                <w:tab w:val="left" w:pos="402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C57F89" w:rsidRPr="00D26075" w:rsidTr="005E35F4">
        <w:trPr>
          <w:trHeight w:val="293"/>
          <w:jc w:val="center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Коррекционно-развивающие курсы по «Программе коррекционной работы» АООП ООО</w:t>
            </w:r>
          </w:p>
        </w:tc>
      </w:tr>
      <w:tr w:rsidR="00C57F89" w:rsidRPr="00D26075" w:rsidTr="005E35F4">
        <w:trPr>
          <w:trHeight w:hRule="exact" w:val="571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57F89" w:rsidRPr="00D26075" w:rsidRDefault="00C57F89" w:rsidP="005E35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Развитие восприятия и воспроизведения устной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57F89" w:rsidRPr="00D26075" w:rsidTr="005E35F4">
        <w:trPr>
          <w:trHeight w:hRule="exact" w:val="771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Развитие учебно-познавательной деятельности</w:t>
            </w:r>
          </w:p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«Формула успеха»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57F89" w:rsidRPr="00D26075" w:rsidTr="005E35F4">
        <w:trPr>
          <w:trHeight w:val="288"/>
          <w:jc w:val="center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C57F89" w:rsidRPr="00D26075" w:rsidRDefault="00C57F89" w:rsidP="005E35F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по различным направлениям внеурочной деятельности</w:t>
            </w:r>
          </w:p>
        </w:tc>
      </w:tr>
      <w:tr w:rsidR="00C57F89" w:rsidRPr="00D26075" w:rsidTr="005E35F4">
        <w:trPr>
          <w:trHeight w:hRule="exact" w:val="595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Занятия по направлениям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C57F89" w:rsidRPr="00D26075" w:rsidTr="005E35F4">
        <w:trPr>
          <w:trHeight w:hRule="exact" w:val="667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Внеурочное занятие «Разговоры о важном» (по понедельникам)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7F89" w:rsidRPr="00D26075" w:rsidTr="005E35F4">
        <w:trPr>
          <w:trHeight w:hRule="exact" w:val="421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Start"/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Россия  -</w:t>
            </w:r>
            <w:proofErr w:type="gramEnd"/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 xml:space="preserve"> мои горизонты» (по четвергам)</w:t>
            </w:r>
          </w:p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7F89" w:rsidRPr="00D26075" w:rsidTr="005E35F4">
        <w:trPr>
          <w:trHeight w:hRule="exact" w:val="1006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«Функциональная грамотность»</w:t>
            </w:r>
          </w:p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 xml:space="preserve">(читательская, математическая, </w:t>
            </w:r>
          </w:p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естественнонаучная, финансовая)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7F89" w:rsidRPr="00D26075" w:rsidTr="005E35F4">
        <w:trPr>
          <w:trHeight w:hRule="exact" w:val="423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Семьеведение</w:t>
            </w:r>
            <w:proofErr w:type="spellEnd"/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7F89" w:rsidRPr="00D26075" w:rsidTr="005E35F4">
        <w:trPr>
          <w:trHeight w:hRule="exact" w:val="42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7F89" w:rsidRPr="00D26075" w:rsidRDefault="00C57F89" w:rsidP="005E35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«Спортивный клуб»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D26075" w:rsidRDefault="00C57F89" w:rsidP="005E35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0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C57F89" w:rsidRPr="00D26075" w:rsidRDefault="00C57F89" w:rsidP="00C57F89">
      <w:pPr>
        <w:tabs>
          <w:tab w:val="left" w:pos="2097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Внеурочная деятельность является неотъемлемой частью АООП ООО.</w:t>
      </w:r>
    </w:p>
    <w:p w:rsidR="00C57F89" w:rsidRPr="00D26075" w:rsidRDefault="00C57F89" w:rsidP="00C57F89">
      <w:pPr>
        <w:tabs>
          <w:tab w:val="left" w:pos="1441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Внеурочная деятельность направлена на достижение планируемых результатов освоения АООП СОО (личностных, метапредметных и предметных), осуществляемую в формах, отличных от урочной.</w:t>
      </w:r>
    </w:p>
    <w:p w:rsidR="00C57F89" w:rsidRPr="00D26075" w:rsidRDefault="00C57F89" w:rsidP="00C57F89">
      <w:pPr>
        <w:tabs>
          <w:tab w:val="left" w:pos="1436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C57F89" w:rsidRPr="00D26075" w:rsidRDefault="00C57F89" w:rsidP="00C57F89">
      <w:pPr>
        <w:numPr>
          <w:ilvl w:val="0"/>
          <w:numId w:val="3"/>
        </w:numPr>
        <w:tabs>
          <w:tab w:val="left" w:pos="442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</w:p>
    <w:p w:rsidR="00C57F89" w:rsidRPr="00D26075" w:rsidRDefault="00C57F89" w:rsidP="00C57F89">
      <w:pPr>
        <w:numPr>
          <w:ilvl w:val="0"/>
          <w:numId w:val="3"/>
        </w:numPr>
        <w:tabs>
          <w:tab w:val="left" w:pos="1125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 xml:space="preserve">внеурочную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метапредметные кружки, факультативы, научные сообщества, в том числе </w:t>
      </w:r>
      <w:r w:rsidRPr="00D26075">
        <w:rPr>
          <w:rFonts w:ascii="Times New Roman" w:eastAsia="Times New Roman" w:hAnsi="Times New Roman"/>
          <w:sz w:val="28"/>
          <w:szCs w:val="28"/>
        </w:rPr>
        <w:lastRenderedPageBreak/>
        <w:t>направленные на реализацию проектной и исследовательской деятельности);</w:t>
      </w:r>
    </w:p>
    <w:p w:rsidR="00C57F89" w:rsidRPr="00D26075" w:rsidRDefault="00C57F89" w:rsidP="00C57F89">
      <w:pPr>
        <w:numPr>
          <w:ilvl w:val="0"/>
          <w:numId w:val="3"/>
        </w:numPr>
        <w:tabs>
          <w:tab w:val="left" w:pos="1125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D26075">
        <w:rPr>
          <w:rFonts w:ascii="Times New Roman" w:eastAsia="Times New Roman" w:hAnsi="Times New Roman"/>
          <w:sz w:val="28"/>
          <w:szCs w:val="28"/>
        </w:rPr>
        <w:t>волонтерство</w:t>
      </w:r>
      <w:proofErr w:type="spellEnd"/>
      <w:r w:rsidRPr="00D26075">
        <w:rPr>
          <w:rFonts w:ascii="Times New Roman" w:eastAsia="Times New Roman" w:hAnsi="Times New Roman"/>
          <w:sz w:val="28"/>
          <w:szCs w:val="28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</w:t>
      </w:r>
      <w:r w:rsidRPr="00D26075">
        <w:rPr>
          <w:rFonts w:ascii="Times New Roman" w:eastAsia="Times New Roman" w:hAnsi="Times New Roman"/>
          <w:sz w:val="28"/>
          <w:szCs w:val="28"/>
        </w:rPr>
        <w:softHyphen/>
        <w:t xml:space="preserve"> производственном окружении;</w:t>
      </w:r>
    </w:p>
    <w:p w:rsidR="00C57F89" w:rsidRPr="00D26075" w:rsidRDefault="00C57F89" w:rsidP="00C57F89">
      <w:pPr>
        <w:numPr>
          <w:ilvl w:val="0"/>
          <w:numId w:val="3"/>
        </w:numPr>
        <w:tabs>
          <w:tab w:val="left" w:pos="1125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C57F89" w:rsidRPr="00D26075" w:rsidRDefault="00C57F89" w:rsidP="00C57F89">
      <w:pPr>
        <w:numPr>
          <w:ilvl w:val="0"/>
          <w:numId w:val="3"/>
        </w:numPr>
        <w:tabs>
          <w:tab w:val="left" w:pos="1125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:rsidR="00C57F89" w:rsidRPr="00D26075" w:rsidRDefault="00C57F89" w:rsidP="00C57F89">
      <w:pPr>
        <w:numPr>
          <w:ilvl w:val="0"/>
          <w:numId w:val="3"/>
        </w:numPr>
        <w:tabs>
          <w:tab w:val="left" w:pos="1125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(законными представителями) по обеспечению успешной реализации образовательной программы и другие);</w:t>
      </w:r>
    </w:p>
    <w:p w:rsidR="00C57F89" w:rsidRPr="00D26075" w:rsidRDefault="00C57F89" w:rsidP="00C57F89">
      <w:pPr>
        <w:numPr>
          <w:ilvl w:val="0"/>
          <w:numId w:val="3"/>
        </w:numPr>
        <w:tabs>
          <w:tab w:val="left" w:pos="1125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</w:t>
      </w:r>
    </w:p>
    <w:p w:rsidR="00C57F89" w:rsidRPr="00D26075" w:rsidRDefault="00C57F89" w:rsidP="00C57F89">
      <w:pPr>
        <w:numPr>
          <w:ilvl w:val="0"/>
          <w:numId w:val="3"/>
        </w:numPr>
        <w:tabs>
          <w:tab w:val="left" w:pos="1125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:rsidR="00C57F89" w:rsidRPr="00D26075" w:rsidRDefault="00C57F89" w:rsidP="00C57F89">
      <w:pPr>
        <w:tabs>
          <w:tab w:val="left" w:pos="1125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Количество часов, выделяемых на внеурочную деятельность, составляет за 2 лет обучения на уровне среднего общего образования не более 680 часов, в год - не более 340 часов.</w:t>
      </w:r>
    </w:p>
    <w:p w:rsidR="00C57F89" w:rsidRPr="00D26075" w:rsidRDefault="00C57F89" w:rsidP="00C57F89">
      <w:pPr>
        <w:tabs>
          <w:tab w:val="left" w:pos="1506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половины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другие).</w:t>
      </w:r>
    </w:p>
    <w:p w:rsidR="00C57F89" w:rsidRPr="00D26075" w:rsidRDefault="00C57F89" w:rsidP="00C57F89">
      <w:pPr>
        <w:tabs>
          <w:tab w:val="left" w:pos="1506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 xml:space="preserve">Внеурочные занятия «Разговоры о важном» направлены на развитие </w:t>
      </w:r>
      <w:r w:rsidRPr="00D26075">
        <w:rPr>
          <w:rFonts w:ascii="Times New Roman" w:eastAsia="Times New Roman" w:hAnsi="Times New Roman"/>
          <w:sz w:val="28"/>
          <w:szCs w:val="28"/>
        </w:rPr>
        <w:lastRenderedPageBreak/>
        <w:t>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57F89" w:rsidRPr="00D26075" w:rsidRDefault="00C57F89" w:rsidP="00C57F89">
      <w:pPr>
        <w:tabs>
          <w:tab w:val="left" w:pos="1599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57F89" w:rsidRPr="00D26075" w:rsidRDefault="00C57F89" w:rsidP="00C57F89">
      <w:pPr>
        <w:tabs>
          <w:tab w:val="left" w:pos="1532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В зависимости от решения педагогического коллектива, родительской общественности, интересов и запросов обучающихся и родителей (законных представителей) в образовательной организации могут реализовываться различные модели плана внеурочной деятельности:</w:t>
      </w:r>
    </w:p>
    <w:p w:rsidR="00C57F89" w:rsidRPr="00D26075" w:rsidRDefault="00C57F89" w:rsidP="00C57F89">
      <w:pPr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C57F89" w:rsidRPr="00D26075" w:rsidRDefault="00C57F89" w:rsidP="00C57F89">
      <w:pPr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C57F89" w:rsidRPr="00D26075" w:rsidRDefault="00C57F89" w:rsidP="00C57F89">
      <w:pPr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модель плана с преобладанием деятельности ученических сообществ и воспитательных мероприятий.</w:t>
      </w:r>
    </w:p>
    <w:p w:rsidR="00C57F89" w:rsidRPr="00D26075" w:rsidRDefault="00C57F89" w:rsidP="00C57F89">
      <w:pPr>
        <w:tabs>
          <w:tab w:val="left" w:pos="1547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Формы реализации внеурочной деятельности образовательная организация определяет самостоятельно.</w:t>
      </w:r>
    </w:p>
    <w:p w:rsidR="00C57F89" w:rsidRPr="00D26075" w:rsidRDefault="00C57F89" w:rsidP="00C57F89">
      <w:pPr>
        <w:tabs>
          <w:tab w:val="left" w:pos="1557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</w:r>
    </w:p>
    <w:p w:rsidR="00C57F89" w:rsidRPr="00D26075" w:rsidRDefault="00C57F89" w:rsidP="00C57F89">
      <w:pPr>
        <w:tabs>
          <w:tab w:val="left" w:pos="1552"/>
        </w:tabs>
        <w:ind w:firstLine="1225"/>
        <w:jc w:val="both"/>
        <w:rPr>
          <w:rFonts w:ascii="Times New Roman" w:eastAsia="Times New Roman" w:hAnsi="Times New Roman"/>
          <w:sz w:val="28"/>
          <w:szCs w:val="28"/>
        </w:rPr>
      </w:pPr>
      <w:r w:rsidRPr="00D26075">
        <w:rPr>
          <w:rFonts w:ascii="Times New Roman" w:eastAsia="Times New Roman" w:hAnsi="Times New Roman"/>
          <w:sz w:val="28"/>
          <w:szCs w:val="28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C57F89" w:rsidRDefault="00C57F89" w:rsidP="00C57F89">
      <w:r w:rsidRPr="00D26075">
        <w:rPr>
          <w:rFonts w:ascii="Times New Roman" w:eastAsia="Times New Roman" w:hAnsi="Times New Roman"/>
          <w:sz w:val="28"/>
          <w:szCs w:val="28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</w:t>
      </w:r>
      <w:r w:rsidRPr="00D26075">
        <w:rPr>
          <w:rFonts w:ascii="Times New Roman" w:eastAsia="Times New Roman" w:hAnsi="Times New Roman"/>
          <w:sz w:val="28"/>
          <w:szCs w:val="28"/>
        </w:rPr>
        <w:lastRenderedPageBreak/>
        <w:t>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</w:t>
      </w:r>
    </w:p>
    <w:sectPr w:rsidR="00C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70E9"/>
    <w:multiLevelType w:val="multilevel"/>
    <w:tmpl w:val="FAF88B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C78E8"/>
    <w:multiLevelType w:val="multilevel"/>
    <w:tmpl w:val="81F897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C548A8"/>
    <w:multiLevelType w:val="hybridMultilevel"/>
    <w:tmpl w:val="E146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89"/>
    <w:rsid w:val="00C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67223-D904-43FB-BF4B-C938354A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7F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7F8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57F8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C57F8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6"/>
    <w:qFormat/>
    <w:locked/>
    <w:rsid w:val="00C57F89"/>
  </w:style>
  <w:style w:type="paragraph" w:styleId="a6">
    <w:name w:val="List Paragraph"/>
    <w:basedOn w:val="a"/>
    <w:link w:val="a5"/>
    <w:qFormat/>
    <w:rsid w:val="00C57F89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2052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1</cp:revision>
  <dcterms:created xsi:type="dcterms:W3CDTF">2024-09-18T13:02:00Z</dcterms:created>
  <dcterms:modified xsi:type="dcterms:W3CDTF">2024-09-18T13:02:00Z</dcterms:modified>
</cp:coreProperties>
</file>